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WINDHOEK/REYKJAVIK, </w:t>
      </w:r>
      <w:r>
        <w:rPr>
          <w:rFonts w:ascii="Calibri" w:hAnsi="Calibri"/>
          <w:b w:val="1"/>
          <w:bCs w:val="1"/>
          <w:rtl w:val="0"/>
        </w:rPr>
        <w:t>12. n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vember 202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  <w:lang w:val="ru-RU"/>
        </w:rPr>
        <w:t xml:space="preserve">- 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ú </w:t>
      </w:r>
      <w:r>
        <w:rPr>
          <w:rFonts w:ascii="Calibri" w:hAnsi="Calibri"/>
          <w:rtl w:val="0"/>
        </w:rPr>
        <w:t>eru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sv-SE"/>
        </w:rPr>
        <w:t xml:space="preserve">tt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rj</w:t>
      </w:r>
      <w:r>
        <w:rPr>
          <w:rFonts w:ascii="Calibri" w:hAnsi="Calibri" w:hint="default"/>
          <w:rtl w:val="0"/>
        </w:rPr>
        <w:t>ú á</w:t>
      </w:r>
      <w:r>
        <w:rPr>
          <w:rFonts w:ascii="Calibri" w:hAnsi="Calibri"/>
          <w:rtl w:val="0"/>
        </w:rPr>
        <w:t>r s</w:t>
      </w:r>
      <w:r>
        <w:rPr>
          <w:rFonts w:ascii="Calibri" w:hAnsi="Calibri" w:hint="default"/>
          <w:rtl w:val="0"/>
        </w:rPr>
        <w:t>íð</w:t>
      </w:r>
      <w:r>
        <w:rPr>
          <w:rFonts w:ascii="Calibri" w:hAnsi="Calibri"/>
          <w:rtl w:val="0"/>
        </w:rPr>
        <w:t>an Fishrot hneyksli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(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slenska: Samherjam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) var afhj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pa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. Meira en 30 </w:t>
      </w:r>
      <w:r>
        <w:rPr>
          <w:rFonts w:ascii="Calibri" w:hAnsi="Calibri" w:hint="default"/>
          <w:rtl w:val="0"/>
        </w:rPr>
        <w:t>þú</w:t>
      </w:r>
      <w:r>
        <w:rPr>
          <w:rFonts w:ascii="Calibri" w:hAnsi="Calibri"/>
          <w:rtl w:val="0"/>
        </w:rPr>
        <w:t>sund skj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l, sem leki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da-DK"/>
        </w:rPr>
        <w:t>var, s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fr-FR"/>
        </w:rPr>
        <w:t>ndu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fr</w:t>
      </w:r>
      <w:r>
        <w:rPr>
          <w:rFonts w:ascii="Calibri" w:hAnsi="Calibri" w:hint="default"/>
          <w:rtl w:val="0"/>
        </w:rPr>
        <w:t>á á</w:t>
      </w:r>
      <w:r>
        <w:rPr>
          <w:rFonts w:ascii="Calibri" w:hAnsi="Calibri"/>
          <w:rtl w:val="0"/>
        </w:rPr>
        <w:t>rinu 2012 haf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 Samherji, st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  <w:lang w:val="sv-SE"/>
        </w:rPr>
        <w:t>rsta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tvegsfyrirt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ki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slands,</w:t>
      </w:r>
      <w:r>
        <w:rPr>
          <w:rFonts w:ascii="Calibri" w:hAnsi="Calibri" w:hint="default"/>
          <w:rtl w:val="0"/>
        </w:rPr>
        <w:t xml:space="preserve">  </w:t>
      </w:r>
      <w:r>
        <w:rPr>
          <w:rFonts w:ascii="Calibri" w:hAnsi="Calibri"/>
          <w:rtl w:val="0"/>
        </w:rPr>
        <w:t>greitt millj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nir dollara til stj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rnm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lamanna og samstarfsmanna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eirra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til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ra fiskvei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iheilmildir fr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innlendum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tvegsfyrrt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kjum </w:t>
      </w:r>
      <w:r>
        <w:rPr>
          <w:rFonts w:ascii="Calibri" w:hAnsi="Calibri" w:hint="default"/>
          <w:rtl w:val="0"/>
        </w:rPr>
        <w:t>í þ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skyni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ta sinn sinn eigin hag og ar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semi.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 Samherja er st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rsta einstaka spillingarm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og </w:t>
      </w:r>
      <w:r>
        <w:rPr>
          <w:rFonts w:ascii="Calibri" w:hAnsi="Calibri" w:hint="default"/>
          <w:rtl w:val="0"/>
        </w:rPr>
        <w:t>á Í</w:t>
      </w:r>
      <w:r>
        <w:rPr>
          <w:rFonts w:ascii="Calibri" w:hAnsi="Calibri"/>
          <w:rtl w:val="0"/>
          <w:lang w:val="it-IT"/>
        </w:rPr>
        <w:t>slandi. Ver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ti grunsamlegra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skipta sem Fj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laleyni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nusta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(Namibian Financial Intelligence Centre) tengja 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starfsemi Samherja eru 650 millj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nir Bandar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kjadala (95 milljar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ar 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it-IT"/>
        </w:rPr>
        <w:t xml:space="preserve">na).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hrif vegna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lsins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eru skelfileg. Sama 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segja um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  <w:lang w:val="da-DK"/>
        </w:rPr>
        <w:t>orp og sv</w:t>
      </w:r>
      <w:r>
        <w:rPr>
          <w:rFonts w:ascii="Calibri" w:hAnsi="Calibri" w:hint="default"/>
          <w:rtl w:val="0"/>
        </w:rPr>
        <w:t>æð</w:t>
      </w:r>
      <w:r>
        <w:rPr>
          <w:rFonts w:ascii="Calibri" w:hAnsi="Calibri"/>
          <w:rtl w:val="0"/>
        </w:rPr>
        <w:t>i sem r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nd voru fiskvei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ikv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ta vegna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fer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Samherja.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skur efnahagur er svo sannarlega ekki 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snertur af starfsemi Samherja enda lag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 fyrirt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ki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sig fram 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taka sem mest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 xml:space="preserve">t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r hagkerfi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og skilja f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tt eftir. Tali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er a</w:t>
      </w:r>
      <w:r>
        <w:rPr>
          <w:rFonts w:ascii="Calibri" w:hAnsi="Calibri" w:hint="default"/>
          <w:rtl w:val="0"/>
        </w:rPr>
        <w:t>ð þú</w:t>
      </w:r>
      <w:r>
        <w:rPr>
          <w:rFonts w:ascii="Calibri" w:hAnsi="Calibri"/>
          <w:rtl w:val="0"/>
        </w:rPr>
        <w:t>sundir sj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manna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hafi misst vinnuna vegna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starfsemi 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tti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skum fyrirt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kjum sem reyndu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spila eftir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 xml:space="preserve">thlutunarreglum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r kv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tar</w:t>
      </w:r>
      <w:r>
        <w:rPr>
          <w:rFonts w:ascii="Calibri" w:hAnsi="Calibri" w:hint="default"/>
          <w:rtl w:val="0"/>
        </w:rPr>
        <w:t>öð</w:t>
      </w:r>
      <w:r>
        <w:rPr>
          <w:rFonts w:ascii="Calibri" w:hAnsi="Calibri"/>
          <w:rtl w:val="0"/>
        </w:rPr>
        <w:t>inni. Framganga Samherja mun hafa neikv</w:t>
      </w:r>
      <w:r>
        <w:rPr>
          <w:rFonts w:ascii="Calibri" w:hAnsi="Calibri" w:hint="default"/>
          <w:rtl w:val="0"/>
        </w:rPr>
        <w:t>æð á</w:t>
      </w:r>
      <w:r>
        <w:rPr>
          <w:rFonts w:ascii="Calibri" w:hAnsi="Calibri"/>
          <w:rtl w:val="0"/>
        </w:rPr>
        <w:t xml:space="preserve">hrif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>fsg</w:t>
      </w:r>
      <w:r>
        <w:rPr>
          <w:rFonts w:ascii="Calibri" w:hAnsi="Calibri" w:hint="default"/>
          <w:rtl w:val="0"/>
        </w:rPr>
        <w:t>æð</w:t>
      </w:r>
      <w:r>
        <w:rPr>
          <w:rFonts w:ascii="Calibri" w:hAnsi="Calibri"/>
          <w:rtl w:val="0"/>
        </w:rPr>
        <w:t>i komandi kynsl</w:t>
      </w:r>
      <w:r>
        <w:rPr>
          <w:rFonts w:ascii="Calibri" w:hAnsi="Calibri" w:hint="default"/>
          <w:rtl w:val="0"/>
        </w:rPr>
        <w:t>óð</w:t>
      </w:r>
      <w:r>
        <w:rPr>
          <w:rFonts w:ascii="Calibri" w:hAnsi="Calibri"/>
          <w:rtl w:val="0"/>
        </w:rPr>
        <w:t>a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remur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rum s</w:t>
      </w:r>
      <w:r>
        <w:rPr>
          <w:rFonts w:ascii="Calibri" w:hAnsi="Calibri" w:hint="default"/>
          <w:rtl w:val="0"/>
        </w:rPr>
        <w:t>íð</w:t>
      </w:r>
      <w:r>
        <w:rPr>
          <w:rFonts w:ascii="Calibri" w:hAnsi="Calibri"/>
          <w:rtl w:val="0"/>
        </w:rPr>
        <w:t>ar lifir Samherji og hr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  <w:lang w:val="de-DE"/>
        </w:rPr>
        <w:t xml:space="preserve">rist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 xml:space="preserve">refsileysi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sama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ma og bygg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ir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sem gj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rningar Samherja hafa bitna</w:t>
      </w:r>
      <w:r>
        <w:rPr>
          <w:rFonts w:ascii="Calibri" w:hAnsi="Calibri" w:hint="default"/>
          <w:rtl w:val="0"/>
        </w:rPr>
        <w:t xml:space="preserve">ð á </w:t>
      </w:r>
      <w:r>
        <w:rPr>
          <w:rFonts w:ascii="Calibri" w:hAnsi="Calibri"/>
          <w:rtl w:val="0"/>
        </w:rPr>
        <w:t>hafa engar 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tur fengi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og gerendurnir hafa ekki enn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dregnir fyrir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tt.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>u ver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gruna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ir dregnir fyrir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tt,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eirra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me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al Bernhard Esau, fyrrverandi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tvegsr</w:t>
      </w:r>
      <w:r>
        <w:rPr>
          <w:rFonts w:ascii="Calibri" w:hAnsi="Calibri" w:hint="default"/>
          <w:rtl w:val="0"/>
        </w:rPr>
        <w:t>áð</w:t>
      </w:r>
      <w:r>
        <w:rPr>
          <w:rFonts w:ascii="Calibri" w:hAnsi="Calibri"/>
          <w:rtl w:val="0"/>
        </w:rPr>
        <w:t>herra og Sakeus Shanghala, fyrrverandi 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msm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lar</w:t>
      </w:r>
      <w:r>
        <w:rPr>
          <w:rFonts w:ascii="Calibri" w:hAnsi="Calibri" w:hint="default"/>
          <w:rtl w:val="0"/>
        </w:rPr>
        <w:t>áð</w:t>
      </w:r>
      <w:r>
        <w:rPr>
          <w:rFonts w:ascii="Calibri" w:hAnsi="Calibri"/>
          <w:rtl w:val="0"/>
        </w:rPr>
        <w:t>herra.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  <w:lang w:val="en-US"/>
        </w:rPr>
        <w:t>alr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kissaks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knari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hefur einnig birt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rur hendur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riggja yfirmanna Samherja, en engin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leitni hefur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da-DK"/>
        </w:rPr>
        <w:t>nd af h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lfu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slenskra yfirvalda til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framselja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essa menn.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H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r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landi hefur engin formleg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ra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fram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hendur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slenskum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ilum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lsins.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  <w:lang w:val="en-US"/>
        </w:rPr>
        <w:t xml:space="preserve">ess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sta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rannsakar l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gregla bla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amenn sem segja fr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Samherja, grafa undan frelsi fj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lmi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la, tj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ningarfrelsi og bar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ttu gegn spillingu.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br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ð í</w:t>
      </w:r>
      <w:r>
        <w:rPr>
          <w:rFonts w:ascii="Calibri" w:hAnsi="Calibri"/>
          <w:rtl w:val="0"/>
        </w:rPr>
        <w:t>slenskra yfirvalda hafa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llu</w:t>
      </w:r>
      <w:r>
        <w:rPr>
          <w:rFonts w:ascii="Calibri" w:hAnsi="Calibri" w:hint="default"/>
          <w:rtl w:val="0"/>
        </w:rPr>
        <w:t>ð „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nast vandr</w:t>
      </w:r>
      <w:r>
        <w:rPr>
          <w:rFonts w:ascii="Calibri" w:hAnsi="Calibri" w:hint="default"/>
          <w:rtl w:val="0"/>
        </w:rPr>
        <w:t>æð</w:t>
      </w:r>
      <w:r>
        <w:rPr>
          <w:rFonts w:ascii="Calibri" w:hAnsi="Calibri"/>
          <w:rtl w:val="0"/>
          <w:lang w:val="es-ES_tradnl"/>
        </w:rPr>
        <w:t>aleg</w:t>
      </w:r>
      <w:r>
        <w:rPr>
          <w:rFonts w:ascii="Calibri" w:hAnsi="Calibri" w:hint="default"/>
          <w:rtl w:val="0"/>
          <w:lang w:val="de-DE"/>
        </w:rPr>
        <w:t xml:space="preserve">“ </w:t>
      </w:r>
      <w:r>
        <w:rPr>
          <w:rFonts w:ascii="Calibri" w:hAnsi="Calibri"/>
          <w:rtl w:val="0"/>
        </w:rPr>
        <w:t>af Drago Kos, formanni vinnuh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de-DE"/>
        </w:rPr>
        <w:t>ps OECD um m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 xml:space="preserve">tur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al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</w:rPr>
        <w:t>óð</w:t>
      </w:r>
      <w:r>
        <w:rPr>
          <w:rFonts w:ascii="Calibri" w:hAnsi="Calibri"/>
          <w:rtl w:val="0"/>
        </w:rPr>
        <w:t>legum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skiptum.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etta er fullkomlega 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unandi og gr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pa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arf til frekari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ger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  <w:lang w:val="it-IT"/>
        </w:rPr>
        <w:t>a. 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teljum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eftirfarandi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urfi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it-IT"/>
        </w:rPr>
        <w:t>gera: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Samherji ver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  <w:lang w:val="fr-FR"/>
        </w:rPr>
        <w:t>ur 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sam</w:t>
      </w:r>
      <w:r>
        <w:rPr>
          <w:rFonts w:ascii="Calibri" w:hAnsi="Calibri" w:hint="default"/>
          <w:b w:val="1"/>
          <w:bCs w:val="1"/>
          <w:rtl w:val="0"/>
        </w:rPr>
        <w:t>þ</w:t>
      </w:r>
      <w:r>
        <w:rPr>
          <w:rFonts w:ascii="Calibri" w:hAnsi="Calibri"/>
          <w:b w:val="1"/>
          <w:bCs w:val="1"/>
          <w:rtl w:val="0"/>
        </w:rPr>
        <w:t>ykkja og grei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  <w:lang w:val="sv-SE"/>
        </w:rPr>
        <w:t>a ska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ab</w:t>
      </w:r>
      <w:r>
        <w:rPr>
          <w:rFonts w:ascii="Calibri" w:hAnsi="Calibri" w:hint="default"/>
          <w:b w:val="1"/>
          <w:bCs w:val="1"/>
          <w:rtl w:val="0"/>
          <w:lang w:val="da-DK"/>
        </w:rPr>
        <w:t>æ</w:t>
      </w:r>
      <w:r>
        <w:rPr>
          <w:rFonts w:ascii="Calibri" w:hAnsi="Calibri"/>
          <w:b w:val="1"/>
          <w:bCs w:val="1"/>
          <w:rtl w:val="0"/>
        </w:rPr>
        <w:t xml:space="preserve">tur 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  <w:lang w:val="de-DE"/>
        </w:rPr>
        <w:t xml:space="preserve">samt </w:t>
      </w:r>
      <w:r>
        <w:rPr>
          <w:rFonts w:ascii="Calibri" w:hAnsi="Calibri" w:hint="default"/>
          <w:b w:val="1"/>
          <w:bCs w:val="1"/>
          <w:rtl w:val="0"/>
        </w:rPr>
        <w:t>þ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gangast undir ferli umb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ta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Í þ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í þ</w:t>
      </w:r>
      <w:r>
        <w:rPr>
          <w:rFonts w:ascii="Calibri" w:hAnsi="Calibri"/>
          <w:rtl w:val="0"/>
        </w:rPr>
        <w:t>arf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sv-SE"/>
        </w:rPr>
        <w:t>felast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·        </w:t>
      </w:r>
      <w:r>
        <w:rPr>
          <w:rFonts w:ascii="Calibri" w:hAnsi="Calibri"/>
          <w:rtl w:val="0"/>
        </w:rPr>
        <w:t xml:space="preserve">Mat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mannr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ttindum og efnahagslegum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hrifum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starfsemi Samherja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·        </w:t>
      </w:r>
      <w:r>
        <w:rPr>
          <w:rFonts w:ascii="Calibri" w:hAnsi="Calibri"/>
          <w:rtl w:val="0"/>
        </w:rPr>
        <w:t>Fullar 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tur til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eirra sem b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 ska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af brotunum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·      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koma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fyrirkomulagi til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takast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rst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k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bygg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um heimamanna og/e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einstaklinga</w:t>
      </w:r>
      <w:r>
        <w:rPr>
          <w:rFonts w:ascii="Calibri" w:hAnsi="Calibri" w:hint="default"/>
          <w:rtl w:val="0"/>
        </w:rPr>
        <w:t> 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Vi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skiptavinir, byrgjar og me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 xml:space="preserve">eigendur Samherja </w:t>
      </w:r>
      <w:r>
        <w:rPr>
          <w:rFonts w:ascii="Calibri" w:hAnsi="Calibri" w:hint="default"/>
          <w:b w:val="1"/>
          <w:bCs w:val="1"/>
          <w:rtl w:val="0"/>
        </w:rPr>
        <w:t>þ</w:t>
      </w:r>
      <w:r>
        <w:rPr>
          <w:rFonts w:ascii="Calibri" w:hAnsi="Calibri"/>
          <w:b w:val="1"/>
          <w:bCs w:val="1"/>
          <w:rtl w:val="0"/>
        </w:rPr>
        <w:t>urfa 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endursko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a fyrirkomulag vi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skipta vi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Samherja</w:t>
      </w:r>
      <w:r>
        <w:rPr>
          <w:rFonts w:ascii="Calibri" w:hAnsi="Calibri"/>
          <w:rtl w:val="0"/>
        </w:rPr>
        <w:t>,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rstaklega me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tilliti til umhverfis-, f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lags og stj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rnunar</w:t>
      </w:r>
      <w:r>
        <w:rPr>
          <w:rFonts w:ascii="Calibri" w:hAnsi="Calibri" w:hint="default"/>
          <w:rtl w:val="0"/>
        </w:rPr>
        <w:t>þá</w:t>
      </w:r>
      <w:r>
        <w:rPr>
          <w:rFonts w:ascii="Calibri" w:hAnsi="Calibri"/>
          <w:rtl w:val="0"/>
        </w:rPr>
        <w:t>tta og si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fer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islegar skuldbindingar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frambo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ske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junni sem og 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lilegar v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ntingar almennings um 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 xml:space="preserve">mu </w:t>
      </w:r>
      <w:r>
        <w:rPr>
          <w:rFonts w:ascii="Calibri" w:hAnsi="Calibri" w:hint="default"/>
          <w:rtl w:val="0"/>
        </w:rPr>
        <w:t>þæ</w:t>
      </w:r>
      <w:r>
        <w:rPr>
          <w:rFonts w:ascii="Calibri" w:hAnsi="Calibri"/>
          <w:rtl w:val="0"/>
        </w:rPr>
        <w:t>tti.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slensk stj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rnv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ldu taki frumkv</w:t>
      </w:r>
      <w:r>
        <w:rPr>
          <w:rFonts w:ascii="Calibri" w:hAnsi="Calibri" w:hint="default"/>
          <w:b w:val="1"/>
          <w:bCs w:val="1"/>
          <w:rtl w:val="0"/>
        </w:rPr>
        <w:t>æð</w:t>
      </w:r>
      <w:r>
        <w:rPr>
          <w:rFonts w:ascii="Calibri" w:hAnsi="Calibri"/>
          <w:b w:val="1"/>
          <w:bCs w:val="1"/>
          <w:rtl w:val="0"/>
        </w:rPr>
        <w:t>i</w:t>
      </w:r>
      <w:r>
        <w:rPr>
          <w:rFonts w:ascii="Calibri" w:hAnsi="Calibri" w:hint="default"/>
          <w:rtl w:val="0"/>
        </w:rPr>
        <w:t xml:space="preserve"> í </w:t>
      </w:r>
      <w:r>
        <w:rPr>
          <w:rFonts w:ascii="Calibri" w:hAnsi="Calibri"/>
          <w:rtl w:val="0"/>
        </w:rPr>
        <w:t>sakam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laranns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kn og beiti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r gegn spillingu sem framin er af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slenskum borgunum.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Yfirv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  <w:lang w:val="en-US"/>
        </w:rPr>
        <w:t xml:space="preserve">ld 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Namib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u geri frekari umb</w:t>
      </w:r>
      <w:r>
        <w:rPr>
          <w:rFonts w:ascii="Calibri" w:hAnsi="Calibri" w:hint="default"/>
          <w:b w:val="1"/>
          <w:bCs w:val="1"/>
          <w:rtl w:val="0"/>
          <w:lang w:val="da-DK"/>
        </w:rPr>
        <w:t>æ</w:t>
      </w:r>
      <w:r>
        <w:rPr>
          <w:rFonts w:ascii="Calibri" w:hAnsi="Calibri"/>
          <w:b w:val="1"/>
          <w:bCs w:val="1"/>
          <w:rtl w:val="0"/>
        </w:rPr>
        <w:t xml:space="preserve">tur </w:t>
      </w:r>
      <w:r>
        <w:rPr>
          <w:rFonts w:ascii="Calibri" w:hAnsi="Calibri" w:hint="default"/>
          <w:b w:val="1"/>
          <w:bCs w:val="1"/>
          <w:rtl w:val="0"/>
        </w:rPr>
        <w:t xml:space="preserve">á </w:t>
      </w:r>
      <w:r>
        <w:rPr>
          <w:rFonts w:ascii="Calibri" w:hAnsi="Calibri"/>
          <w:b w:val="1"/>
          <w:bCs w:val="1"/>
          <w:rtl w:val="0"/>
        </w:rPr>
        <w:t>stj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rnunarh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ttum s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num s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>rstaklega me</w:t>
      </w:r>
      <w:r>
        <w:rPr>
          <w:rFonts w:ascii="Calibri" w:hAnsi="Calibri" w:hint="default"/>
          <w:b w:val="1"/>
          <w:bCs w:val="1"/>
          <w:rtl w:val="0"/>
        </w:rPr>
        <w:t>ð þ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breyta l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gum um au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lindir sj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  <w:lang w:val="da-DK"/>
        </w:rPr>
        <w:t>var,</w:t>
      </w:r>
      <w:r>
        <w:rPr>
          <w:rFonts w:ascii="Calibri" w:hAnsi="Calibri"/>
          <w:rtl w:val="0"/>
        </w:rPr>
        <w:t xml:space="preserve"> sem ger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  <w:lang w:val="sv-SE"/>
        </w:rPr>
        <w:t>i framg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ngu Samherja m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 xml:space="preserve">gulega, og dragi </w:t>
      </w:r>
      <w:r>
        <w:rPr>
          <w:rFonts w:ascii="Calibri" w:hAnsi="Calibri" w:hint="default"/>
          <w:rtl w:val="0"/>
        </w:rPr>
        <w:t xml:space="preserve">þá </w:t>
      </w:r>
      <w:r>
        <w:rPr>
          <w:rFonts w:ascii="Calibri" w:hAnsi="Calibri"/>
          <w:rtl w:val="0"/>
        </w:rPr>
        <w:t xml:space="preserve">sem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byrg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bera fyrir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tt eins flj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tt og au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da-DK"/>
        </w:rPr>
        <w:t xml:space="preserve">er,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  <w:lang w:val="da-DK"/>
        </w:rPr>
        <w:t>ar me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talda </w:t>
      </w:r>
      <w:r>
        <w:rPr>
          <w:rFonts w:ascii="Calibri" w:hAnsi="Calibri" w:hint="default"/>
          <w:rtl w:val="0"/>
        </w:rPr>
        <w:t xml:space="preserve">þá </w:t>
      </w:r>
      <w:r>
        <w:rPr>
          <w:rFonts w:ascii="Calibri" w:hAnsi="Calibri"/>
          <w:rtl w:val="0"/>
        </w:rPr>
        <w:t xml:space="preserve">sem framselja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arf fr</w:t>
      </w:r>
      <w:r>
        <w:rPr>
          <w:rFonts w:ascii="Calibri" w:hAnsi="Calibri" w:hint="default"/>
          <w:rtl w:val="0"/>
        </w:rPr>
        <w:t>á Í</w:t>
      </w:r>
      <w:r>
        <w:rPr>
          <w:rFonts w:ascii="Calibri" w:hAnsi="Calibri"/>
          <w:rtl w:val="0"/>
        </w:rPr>
        <w:t xml:space="preserve">slandi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 frekari tafa.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R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kisstj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rnir,</w:t>
      </w:r>
      <w:r>
        <w:rPr>
          <w:rFonts w:ascii="Calibri" w:hAnsi="Calibri" w:hint="default"/>
          <w:rtl w:val="0"/>
        </w:rPr>
        <w:t xml:space="preserve"> þ</w:t>
      </w:r>
      <w:r>
        <w:rPr>
          <w:rFonts w:ascii="Calibri" w:hAnsi="Calibri"/>
          <w:rtl w:val="0"/>
        </w:rPr>
        <w:t xml:space="preserve">eirra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me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al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Bandar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kjunum, Bretlandi, </w:t>
      </w:r>
      <w:r>
        <w:rPr>
          <w:rFonts w:ascii="Calibri" w:hAnsi="Calibri" w:hint="default"/>
          <w:rtl w:val="0"/>
        </w:rPr>
        <w:t>Þý</w:t>
      </w:r>
      <w:r>
        <w:rPr>
          <w:rFonts w:ascii="Calibri" w:hAnsi="Calibri"/>
          <w:rtl w:val="0"/>
        </w:rPr>
        <w:t>skalandi, Frakklandi, 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llandi, Hollandi, Noregi og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reyjum beiti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r fyrir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tryggja a</w:t>
      </w:r>
      <w:r>
        <w:rPr>
          <w:rFonts w:ascii="Calibri" w:hAnsi="Calibri" w:hint="default"/>
          <w:rtl w:val="0"/>
        </w:rPr>
        <w:t>ð á</w:t>
      </w:r>
      <w:r>
        <w:rPr>
          <w:rFonts w:ascii="Calibri" w:hAnsi="Calibri"/>
          <w:rtl w:val="0"/>
        </w:rPr>
        <w:t>framhald ver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i ekki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brotum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 xml:space="preserve">efnahagskerfum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essara landa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krafti al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</w:rPr>
        <w:t>óð</w:t>
      </w:r>
      <w:r>
        <w:rPr>
          <w:rFonts w:ascii="Calibri" w:hAnsi="Calibri"/>
          <w:rtl w:val="0"/>
        </w:rPr>
        <w:t>legra fj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rfestinga Samherja 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skj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li fj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rfestinga f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lagsins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ú </w:t>
      </w:r>
      <w:r>
        <w:rPr>
          <w:rFonts w:ascii="Calibri" w:hAnsi="Calibri"/>
          <w:rtl w:val="0"/>
          <w:lang w:val="en-US"/>
        </w:rPr>
        <w:t>er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mi fyrir </w:t>
      </w:r>
      <w:r>
        <w:rPr>
          <w:rFonts w:ascii="Calibri" w:hAnsi="Calibri" w:hint="default"/>
          <w:rtl w:val="0"/>
        </w:rPr>
        <w:t xml:space="preserve">þá </w:t>
      </w:r>
      <w:r>
        <w:rPr>
          <w:rFonts w:ascii="Calibri" w:hAnsi="Calibri"/>
          <w:rtl w:val="0"/>
        </w:rPr>
        <w:t>sem hagsmuna hafa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  <w:lang w:val="it-IT"/>
        </w:rPr>
        <w:t>ta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gefa sig alla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ttunni gegn spillingu og f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ra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um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n-US"/>
        </w:rPr>
        <w:t>ttl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ti og ska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tur.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 A"/>
        <w:spacing w:line="276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Ends/</w:t>
      </w:r>
    </w:p>
    <w:p>
      <w:pPr>
        <w:pStyle w:val="Body A"/>
        <w:spacing w:line="276" w:lineRule="auto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Uppl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singar veita:</w:t>
      </w:r>
    </w:p>
    <w:p>
      <w:pPr>
        <w:pStyle w:val="Body A"/>
        <w:numPr>
          <w:ilvl w:val="0"/>
          <w:numId w:val="2"/>
        </w:numPr>
        <w:spacing w:line="276" w:lineRule="auto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Graham Hopwood, framkv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mdastj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 IPPR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director@ippr.org.na</w:t>
      </w:r>
    </w:p>
    <w:p>
      <w:pPr>
        <w:pStyle w:val="Body A"/>
        <w:numPr>
          <w:ilvl w:val="0"/>
          <w:numId w:val="2"/>
        </w:numPr>
        <w:spacing w:line="276" w:lineRule="auto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Atli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Þó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Fanndal, framkv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mdastj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 Transparency International Iceland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thor@transparency.is -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 8882103</w:t>
      </w:r>
    </w:p>
    <w:p>
      <w:pPr>
        <w:pStyle w:val="Body A"/>
        <w:spacing w:line="276" w:lineRule="auto"/>
        <w:ind w:left="720" w:firstLine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Eftirfarandi einstaklingar og samt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undirrita yfirl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singuna</w:t>
      </w:r>
    </w:p>
    <w:p>
      <w:pPr>
        <w:pStyle w:val="Body"/>
        <w:tabs>
          <w:tab w:val="left" w:pos="2195"/>
        </w:tabs>
        <w:spacing w:line="276" w:lineRule="auto"/>
        <w:jc w:val="both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Peter Eigen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Founder of Transparency International and Fisheries Transparency Initiative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Graham Hopwood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Institute for Public Policy Research (IPPR), Namibia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Thor Fanndal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Executive Director, Transparency International 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Iceland</w:t>
      </w:r>
    </w:p>
    <w:p>
      <w:pPr>
        <w:pStyle w:val="Body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Daniel Bruce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UK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Mart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nez Garc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Espa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Lousewies van der Laan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Netherlands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Bodil Karlsh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j Poulsen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Greenland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Ilia Shumanov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Russia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Guro Slettemark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Norway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Jemima Beukes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Deputy Secretary General, Namibia Media Professionals Union (NAMPU)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Carola Engelbrecht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Co-ordinator, CIVIC +264 (Civil Society Information Centre) Namibia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Toni Hancox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Director, Legal Assistance Centre (LAC), Namibia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Naita Hishoono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Executive Director, Namibia Institute for Democracy (NID)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Herbert Jauch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Chairperson, Economic and Social Justice Trust (ESJT), Namibia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Mahongora Kavihuha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Secretary General, Trade Union Congress of Namibia (TUCNA) 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Frederico Links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Chairperson, ACTION Coalition (for Access to Information), Namibia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Rinaani Musutua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Representative, Basic Income Grant (BIG) Coalition, Namibia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 Myers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Whistleblowing International Network (WIN)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Henri Thulliez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PPLAAF (Platform to Protect Whistleblowers in Africa)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Zoe Titus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Namibia Media Trust (NMT)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Eva Van der Merwe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Transparency International France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Eva Van der Merwe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Executive Director,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International Lawyers Project (ILP)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Nad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ge Buquet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Transparency International France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Karina Carvalho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Executive Director,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Transpar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ê</w:t>
      </w:r>
      <w:r>
        <w:rPr>
          <w:rFonts w:ascii="Calibri" w:hAnsi="Calibri"/>
          <w:i w:val="1"/>
          <w:iCs w:val="1"/>
          <w:sz w:val="22"/>
          <w:szCs w:val="22"/>
          <w:rtl w:val="0"/>
          <w:lang w:val="pt-PT"/>
        </w:rPr>
        <w:t>ncia Internacional Portugal</w:t>
      </w:r>
    </w:p>
    <w:p>
      <w:pPr>
        <w:pStyle w:val="Body"/>
        <w:spacing w:line="276" w:lineRule="auto"/>
        <w:ind w:left="720" w:firstLine="0"/>
        <w:jc w:val="both"/>
      </w:pPr>
      <w:r>
        <w:rPr>
          <w:rFonts w:ascii="Calibri" w:cs="Calibri" w:hAnsi="Calibri" w:eastAsia="Calibri"/>
          <w:i w:val="1"/>
          <w:iCs w:val="1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oddPage"/>
      <w:pgSz w:w="11900" w:h="16840" w:orient="portrait"/>
      <w:pgMar w:top="1134" w:right="1134" w:bottom="1134" w:left="1304" w:header="1142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fldChar w:fldCharType="begin" w:fldLock="0"/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instrText xml:space="preserve"> PAGE </w:instrText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fldChar w:fldCharType="separate" w:fldLock="0"/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outline w:val="0"/>
        <w:color w:val="0000ff"/>
        <w:u w:color="0000ff"/>
        <w14:textFill>
          <w14:solidFill>
            <w14:srgbClr w14:val="0000FF"/>
          </w14:solidFill>
        </w14:textFill>
      </w:rPr>
    </w:pPr>
    <w:r>
      <w:rPr>
        <w:outline w:val="0"/>
        <w:color w:val="0000ff"/>
        <w:u w:color="0000ff"/>
        <w14:textFill>
          <w14:solidFill>
            <w14:srgbClr w14:val="0000FF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706111" cy="30482"/>
              <wp:effectExtent l="0" t="0" r="0" b="0"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6111" cy="30482"/>
                      </a:xfrm>
                      <a:prstGeom prst="rect">
                        <a:avLst/>
                      </a:prstGeom>
                      <a:solidFill>
                        <a:srgbClr val="1B265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449.3pt;height:2.4pt;">
              <v:fill color="#1B265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header"/>
      <w:tabs>
        <w:tab w:val="center" w:pos="4819"/>
        <w:tab w:val="right" w:pos="9442"/>
      </w:tabs>
    </w:pPr>
    <w:r>
      <w:rPr>
        <w:rFonts w:ascii="Arial Narrow" w:cs="Arial Narrow" w:hAnsi="Arial Narrow" w:eastAsia="Arial Narrow"/>
        <w:outline w:val="0"/>
        <w:color w:val="1b2651"/>
        <w:sz w:val="20"/>
        <w:szCs w:val="20"/>
        <w:u w:color="1b2651"/>
        <w14:textFill>
          <w14:solidFill>
            <w14:srgbClr w14:val="1B2651"/>
          </w14:solidFill>
        </w14:textFill>
      </w:rPr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left" w:pos="1185"/>
      </w:tabs>
      <w:jc w:val="center"/>
      <w:rPr>
        <w:rFonts w:ascii="Arial" w:hAnsi="Arial"/>
        <w:b w:val="1"/>
        <w:bCs w:val="1"/>
        <w:sz w:val="36"/>
        <w:szCs w:val="36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1059178</wp:posOffset>
              </wp:positionV>
              <wp:extent cx="6120132" cy="0"/>
              <wp:effectExtent l="0" t="0" r="0" b="0"/>
              <wp:wrapNone/>
              <wp:docPr id="1073741827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2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1B265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7pt;margin-top:83.4pt;width:481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B2651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Body A"/>
      <w:tabs>
        <w:tab w:val="left" w:pos="1185"/>
      </w:tabs>
      <w:rPr>
        <w:rFonts w:ascii="Arial" w:hAnsi="Arial"/>
      </w:rPr>
    </w:pPr>
  </w:p>
  <w:p>
    <w:pPr>
      <w:pStyle w:val="Body A"/>
      <w:tabs>
        <w:tab w:val="left" w:pos="1185"/>
      </w:tabs>
      <w:rPr>
        <w:rFonts w:ascii="Arial" w:hAnsi="Arial"/>
      </w:rPr>
    </w:pPr>
  </w:p>
  <w:p>
    <w:pPr>
      <w:pStyle w:val="Body A"/>
      <w:tabs>
        <w:tab w:val="left" w:pos="1185"/>
      </w:tabs>
      <w:jc w:val="center"/>
      <w:rPr>
        <w:rFonts w:ascii="Arial" w:cs="Arial" w:hAnsi="Arial" w:eastAsia="Arial"/>
        <w:b w:val="1"/>
        <w:bCs w:val="1"/>
        <w:sz w:val="36"/>
        <w:szCs w:val="36"/>
      </w:rPr>
    </w:pPr>
    <w:r>
      <w:rPr>
        <w:rFonts w:ascii="Arial" w:hAnsi="Arial"/>
      </w:rPr>
      <w:drawing xmlns:a="http://schemas.openxmlformats.org/drawingml/2006/main">
        <wp:inline distT="0" distB="0" distL="0" distR="0">
          <wp:extent cx="1989455" cy="804545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8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rtl w:val="0"/>
        <w:lang w:val="en-US"/>
      </w:rPr>
      <w:t xml:space="preserve">     </w:t>
    </w: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2179114" cy="788688"/>
          <wp:effectExtent l="0" t="0" r="0" b="0"/>
          <wp:docPr id="1073741826" name="officeArt object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xtDescription automatically generated" descr="Text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114" cy="788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A"/>
      <w:tabs>
        <w:tab w:val="left" w:pos="1185"/>
      </w:tabs>
      <w:jc w:val="center"/>
      <w:rPr>
        <w:rFonts w:ascii="Arial" w:cs="Arial" w:hAnsi="Arial" w:eastAsia="Arial"/>
        <w:b w:val="1"/>
        <w:bCs w:val="1"/>
        <w:sz w:val="36"/>
        <w:szCs w:val="36"/>
      </w:rPr>
    </w:pPr>
  </w:p>
  <w:p>
    <w:pPr>
      <w:pStyle w:val="Body A"/>
      <w:tabs>
        <w:tab w:val="left" w:pos="1185"/>
      </w:tabs>
      <w:jc w:val="center"/>
      <w:rPr>
        <w:rFonts w:ascii="Calibri" w:cs="Calibri" w:hAnsi="Calibri" w:eastAsia="Calibri"/>
        <w:b w:val="1"/>
        <w:bCs w:val="1"/>
        <w:sz w:val="36"/>
        <w:szCs w:val="36"/>
      </w:rPr>
    </w:pPr>
    <w:r>
      <w:rPr>
        <w:rFonts w:ascii="Calibri" w:hAnsi="Calibri"/>
        <w:b w:val="1"/>
        <w:bCs w:val="1"/>
        <w:sz w:val="36"/>
        <w:szCs w:val="36"/>
        <w:rtl w:val="0"/>
      </w:rPr>
      <w:t>Yfirl</w:t>
    </w:r>
    <w:r>
      <w:rPr>
        <w:rFonts w:ascii="Calibri" w:hAnsi="Calibri" w:hint="default"/>
        <w:b w:val="1"/>
        <w:bCs w:val="1"/>
        <w:sz w:val="36"/>
        <w:szCs w:val="36"/>
        <w:rtl w:val="0"/>
      </w:rPr>
      <w:t>ý</w:t>
    </w:r>
    <w:r>
      <w:rPr>
        <w:rFonts w:ascii="Calibri" w:hAnsi="Calibri"/>
        <w:b w:val="1"/>
        <w:bCs w:val="1"/>
        <w:sz w:val="36"/>
        <w:szCs w:val="36"/>
        <w:rtl w:val="0"/>
      </w:rPr>
      <w:t>sing</w:t>
    </w:r>
    <w:r>
      <w:rPr>
        <w:rFonts w:ascii="Calibri" w:hAnsi="Calibri"/>
        <w:b w:val="1"/>
        <w:bCs w:val="1"/>
        <w:sz w:val="36"/>
        <w:szCs w:val="36"/>
        <w:rtl w:val="0"/>
        <w:lang w:val="en-US"/>
      </w:rPr>
      <w:t>:</w:t>
    </w:r>
  </w:p>
  <w:p>
    <w:pPr>
      <w:pStyle w:val="Body A"/>
      <w:tabs>
        <w:tab w:val="left" w:pos="1185"/>
      </w:tabs>
      <w:jc w:val="center"/>
      <w:rPr>
        <w:rFonts w:ascii="Calibri" w:cs="Calibri" w:hAnsi="Calibri" w:eastAsia="Calibri"/>
        <w:b w:val="1"/>
        <w:bCs w:val="1"/>
        <w:sz w:val="32"/>
        <w:szCs w:val="32"/>
      </w:rPr>
    </w:pPr>
  </w:p>
  <w:p>
    <w:pPr>
      <w:pStyle w:val="Body A"/>
      <w:jc w:val="center"/>
      <w:rPr>
        <w:rFonts w:ascii="Calibri" w:cs="Calibri" w:hAnsi="Calibri" w:eastAsia="Calibri"/>
        <w:b w:val="1"/>
        <w:bCs w:val="1"/>
        <w:sz w:val="32"/>
        <w:szCs w:val="32"/>
        <w:u w:val="single"/>
      </w:rPr>
    </w:pP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Samherjaskj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ö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lin 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þ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riggja 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á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ra:  </w:t>
    </w:r>
  </w:p>
  <w:p>
    <w:pPr>
      <w:pStyle w:val="Body A"/>
      <w:jc w:val="center"/>
    </w:pP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Framganga Samherja mun hafa neikv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æð á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hrif 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 xml:space="preserve">á 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l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í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fsg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æð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i komandi kynsl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óð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a Namib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í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u.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